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E91653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E91653">
        <w:rPr>
          <w:rFonts w:ascii="Times New Roman" w:hAnsi="Times New Roman" w:cs="Times New Roman"/>
          <w:sz w:val="30"/>
          <w:szCs w:val="30"/>
          <w:lang w:val="ru-RU"/>
        </w:rPr>
        <w:t>12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B1A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E91653">
        <w:rPr>
          <w:rFonts w:ascii="Times New Roman" w:hAnsi="Times New Roman" w:cs="Times New Roman"/>
          <w:sz w:val="30"/>
          <w:szCs w:val="30"/>
          <w:lang w:val="ru-RU"/>
        </w:rPr>
        <w:t>12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E91653">
        <w:rPr>
          <w:sz w:val="30"/>
          <w:szCs w:val="30"/>
        </w:rPr>
        <w:t>30.01.2025</w:t>
      </w:r>
      <w:r w:rsidR="00243754" w:rsidRPr="00354C2E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497CC1">
        <w:rPr>
          <w:sz w:val="30"/>
          <w:szCs w:val="30"/>
        </w:rPr>
        <w:t xml:space="preserve"> </w:t>
      </w:r>
      <w:r w:rsidR="004C2720">
        <w:rPr>
          <w:sz w:val="30"/>
          <w:szCs w:val="30"/>
        </w:rPr>
        <w:t>сеялок точного высева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E91653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4C2720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4C2720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 xml:space="preserve">конкурсного предложения, состоящего </w:t>
      </w:r>
      <w:proofErr w:type="gramStart"/>
      <w:r w:rsidRPr="00354C2E">
        <w:rPr>
          <w:sz w:val="30"/>
          <w:szCs w:val="30"/>
        </w:rPr>
        <w:t>из</w:t>
      </w:r>
      <w:proofErr w:type="gramEnd"/>
      <w:r w:rsidRPr="00354C2E">
        <w:rPr>
          <w:sz w:val="30"/>
          <w:szCs w:val="30"/>
        </w:rPr>
        <w:t>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4C2720">
        <w:rPr>
          <w:sz w:val="30"/>
          <w:szCs w:val="30"/>
        </w:rPr>
        <w:t>сеялок точного высева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4C27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1938EB">
        <w:rPr>
          <w:sz w:val="30"/>
          <w:szCs w:val="30"/>
        </w:rPr>
        <w:t>4.</w:t>
      </w:r>
      <w:r w:rsidR="009C21C9" w:rsidRPr="001938EB">
        <w:rPr>
          <w:sz w:val="30"/>
          <w:szCs w:val="30"/>
        </w:rPr>
        <w:t>6</w:t>
      </w:r>
      <w:r w:rsidR="0070064E" w:rsidRPr="001938EB">
        <w:rPr>
          <w:sz w:val="30"/>
          <w:szCs w:val="30"/>
        </w:rPr>
        <w:t xml:space="preserve">. дата и время </w:t>
      </w:r>
      <w:r w:rsidR="009E075C" w:rsidRPr="001938EB">
        <w:rPr>
          <w:sz w:val="30"/>
          <w:szCs w:val="30"/>
        </w:rPr>
        <w:t xml:space="preserve">конечного срока приема заявок на участие в конкурсе: </w:t>
      </w:r>
      <w:r w:rsidR="00E91653" w:rsidRPr="001938EB">
        <w:rPr>
          <w:sz w:val="30"/>
          <w:szCs w:val="30"/>
        </w:rPr>
        <w:t>30</w:t>
      </w:r>
      <w:r w:rsidR="003F606C" w:rsidRPr="001938EB">
        <w:rPr>
          <w:sz w:val="30"/>
          <w:szCs w:val="30"/>
        </w:rPr>
        <w:t> </w:t>
      </w:r>
      <w:r w:rsidR="00E91653" w:rsidRPr="001938EB">
        <w:rPr>
          <w:sz w:val="30"/>
          <w:szCs w:val="30"/>
        </w:rPr>
        <w:t>января</w:t>
      </w:r>
      <w:r w:rsidR="003F606C" w:rsidRPr="00354C2E">
        <w:rPr>
          <w:sz w:val="30"/>
          <w:szCs w:val="30"/>
        </w:rPr>
        <w:t> </w:t>
      </w:r>
      <w:r w:rsidR="00220020" w:rsidRPr="00354C2E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9E075C" w:rsidRPr="00354C2E">
        <w:rPr>
          <w:sz w:val="30"/>
          <w:szCs w:val="30"/>
        </w:rPr>
        <w:t xml:space="preserve"> г</w:t>
      </w:r>
      <w:r w:rsidR="009D144A">
        <w:rPr>
          <w:sz w:val="30"/>
          <w:szCs w:val="30"/>
        </w:rPr>
        <w:t>.</w:t>
      </w:r>
      <w:r w:rsidR="0070064E" w:rsidRPr="00354C2E">
        <w:rPr>
          <w:sz w:val="30"/>
          <w:szCs w:val="30"/>
        </w:rPr>
        <w:t>, до 1</w:t>
      </w:r>
      <w:r w:rsidR="008C14E2" w:rsidRPr="00354C2E">
        <w:rPr>
          <w:sz w:val="30"/>
          <w:szCs w:val="30"/>
        </w:rPr>
        <w:t>6</w:t>
      </w:r>
      <w:r w:rsidR="00844CB4" w:rsidRPr="00354C2E">
        <w:rPr>
          <w:sz w:val="30"/>
          <w:szCs w:val="30"/>
        </w:rPr>
        <w:t>-</w:t>
      </w:r>
      <w:r w:rsidR="008C14E2" w:rsidRPr="00354C2E">
        <w:rPr>
          <w:sz w:val="30"/>
          <w:szCs w:val="30"/>
        </w:rPr>
        <w:t>0</w:t>
      </w:r>
      <w:r w:rsidR="0070064E" w:rsidRPr="00354C2E">
        <w:rPr>
          <w:sz w:val="30"/>
          <w:szCs w:val="30"/>
        </w:rPr>
        <w:t>0</w:t>
      </w:r>
      <w:r w:rsidR="009E075C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4B1A0D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1938EB">
        <w:rPr>
          <w:sz w:val="30"/>
          <w:szCs w:val="30"/>
          <w:u w:val="single"/>
        </w:rPr>
        <w:t>12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4C2720" w:rsidRPr="004C2720">
        <w:rPr>
          <w:b/>
          <w:sz w:val="30"/>
          <w:szCs w:val="30"/>
        </w:rPr>
        <w:t>сеялок точного высева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одн</w:t>
      </w:r>
      <w:r w:rsidR="004C2720">
        <w:rPr>
          <w:sz w:val="30"/>
          <w:szCs w:val="30"/>
        </w:rPr>
        <w:t>у</w:t>
      </w:r>
      <w:r w:rsidR="0092724A">
        <w:rPr>
          <w:sz w:val="30"/>
          <w:szCs w:val="30"/>
        </w:rPr>
        <w:t xml:space="preserve"> </w:t>
      </w:r>
      <w:r w:rsidR="004C2720">
        <w:rPr>
          <w:sz w:val="30"/>
          <w:szCs w:val="30"/>
        </w:rPr>
        <w:t>сеялку точного высева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5.3. способ оценки критериев определения участника выигравшего конкурс 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одн</w:t>
      </w:r>
      <w:r w:rsidR="004C2720">
        <w:rPr>
          <w:rFonts w:ascii="Times New Roman" w:hAnsi="Times New Roman" w:cs="Times New Roman"/>
          <w:sz w:val="30"/>
          <w:szCs w:val="30"/>
          <w:lang w:val="ru-RU" w:eastAsia="ru-RU"/>
        </w:rPr>
        <w:t>у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="004C2720">
        <w:rPr>
          <w:rFonts w:ascii="Times New Roman" w:hAnsi="Times New Roman" w:cs="Times New Roman"/>
          <w:sz w:val="30"/>
          <w:szCs w:val="30"/>
          <w:lang w:val="ru-RU" w:eastAsia="ru-RU"/>
        </w:rPr>
        <w:t>сеял</w:t>
      </w:r>
      <w:r w:rsidR="004C2720" w:rsidRPr="004C2720">
        <w:rPr>
          <w:rFonts w:ascii="Times New Roman" w:hAnsi="Times New Roman" w:cs="Times New Roman"/>
          <w:sz w:val="30"/>
          <w:szCs w:val="30"/>
          <w:lang w:val="ru-RU" w:eastAsia="ru-RU"/>
        </w:rPr>
        <w:t>к</w:t>
      </w:r>
      <w:r w:rsidR="004C2720">
        <w:rPr>
          <w:rFonts w:ascii="Times New Roman" w:hAnsi="Times New Roman" w:cs="Times New Roman"/>
          <w:sz w:val="30"/>
          <w:szCs w:val="30"/>
          <w:lang w:val="ru-RU" w:eastAsia="ru-RU"/>
        </w:rPr>
        <w:t>у</w:t>
      </w:r>
      <w:r w:rsidR="004C2720" w:rsidRPr="004C2720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точного высева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4C2720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C2720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1938EB" w:rsidRDefault="001938EB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1938EB">
        <w:rPr>
          <w:sz w:val="30"/>
          <w:szCs w:val="30"/>
        </w:rPr>
        <w:t>30.01</w:t>
      </w:r>
      <w:r w:rsidR="00F737FF">
        <w:rPr>
          <w:sz w:val="30"/>
          <w:szCs w:val="30"/>
        </w:rPr>
        <w:t>.202</w:t>
      </w:r>
      <w:r w:rsidR="00497CC1">
        <w:rPr>
          <w:sz w:val="30"/>
          <w:szCs w:val="30"/>
        </w:rPr>
        <w:t>5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1938EB">
        <w:rPr>
          <w:sz w:val="30"/>
          <w:szCs w:val="30"/>
        </w:rPr>
        <w:t>12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4C2720">
        <w:rPr>
          <w:sz w:val="30"/>
          <w:szCs w:val="30"/>
        </w:rPr>
        <w:t>сеялок точного высева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1938EB">
        <w:rPr>
          <w:sz w:val="30"/>
          <w:szCs w:val="30"/>
        </w:rPr>
        <w:t>30 января</w:t>
      </w:r>
      <w:r w:rsidR="00270012" w:rsidRPr="009576CF">
        <w:rPr>
          <w:sz w:val="30"/>
          <w:szCs w:val="30"/>
        </w:rPr>
        <w:t xml:space="preserve"> 202</w:t>
      </w:r>
      <w:r w:rsidR="00462D21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1938EB">
        <w:rPr>
          <w:color w:val="000000"/>
          <w:sz w:val="30"/>
          <w:szCs w:val="30"/>
          <w:lang w:bidi="ru-RU"/>
        </w:rPr>
        <w:t>№4</w:t>
      </w:r>
      <w:r w:rsidR="009A2BDA">
        <w:rPr>
          <w:color w:val="000000"/>
          <w:sz w:val="30"/>
          <w:szCs w:val="30"/>
          <w:lang w:bidi="ru-RU"/>
        </w:rPr>
        <w:t>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>Иные мероприятия в соответствии с решениями Президента Республики Беларусь и законами Республики</w:t>
      </w:r>
      <w:bookmarkStart w:id="0" w:name="_GoBack"/>
      <w:bookmarkEnd w:id="0"/>
      <w:r w:rsidR="00270012" w:rsidRPr="009576CF">
        <w:rPr>
          <w:bCs/>
          <w:sz w:val="30"/>
          <w:szCs w:val="30"/>
        </w:rPr>
        <w:t xml:space="preserve">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1938EB">
        <w:rPr>
          <w:color w:val="000000"/>
          <w:sz w:val="30"/>
          <w:szCs w:val="30"/>
          <w:lang w:bidi="ru-RU"/>
        </w:rPr>
        <w:t>№4</w:t>
      </w:r>
      <w:r w:rsidR="00462D21">
        <w:rPr>
          <w:color w:val="000000"/>
          <w:sz w:val="30"/>
          <w:szCs w:val="30"/>
          <w:lang w:bidi="ru-RU"/>
        </w:rPr>
        <w:t>8</w:t>
      </w:r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4C2720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4C2720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38EB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EDF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1A0D"/>
    <w:rsid w:val="004B40CE"/>
    <w:rsid w:val="004B6E29"/>
    <w:rsid w:val="004C2720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1C4E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8F6C42"/>
    <w:rsid w:val="00900F70"/>
    <w:rsid w:val="009024C5"/>
    <w:rsid w:val="00902725"/>
    <w:rsid w:val="00902FE0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1653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8414-EDBE-4359-81A2-414E8B46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1186</Words>
  <Characters>9788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5</cp:revision>
  <cp:lastPrinted>2024-01-16T09:00:00Z</cp:lastPrinted>
  <dcterms:created xsi:type="dcterms:W3CDTF">2025-01-08T09:55:00Z</dcterms:created>
  <dcterms:modified xsi:type="dcterms:W3CDTF">2025-01-15T11:33:00Z</dcterms:modified>
</cp:coreProperties>
</file>